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Lundy: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underclassman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Bryant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we talked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eye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Yeah, I hate that stuff. I can live with it."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gymnastics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gymnastics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gruesome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bipolar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go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superintendent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just thought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"Oh,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wise,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Memphis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30s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Armageddon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"You know what? I'm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inning."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outfielder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psychosomatic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exactly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they did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Ortberg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you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said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"Well,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tried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He's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workaholic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Hoffman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part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him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point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here 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betrayal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asked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until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he's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know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thing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the end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Iggy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said,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you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BetterMan Session 02 by Tim Lundy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"https://www.rev.com/transcript-editor/Edit?token=3lb1-1XPz9-Iv5wtnOyRSDLfeS6R5QkHOicYT7iFfdNMeXmDeq4G36ur2DVcYfz9Au24ALwjPdcvJ7QjQZR6GCadT1I&amp;loadFrom=DocumentHeaderDeepLink"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